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8F3" w:rsidRPr="003E00F3" w:rsidRDefault="00385946" w:rsidP="002646F0">
      <w:pPr>
        <w:spacing w:before="100" w:beforeAutospacing="1" w:after="100" w:afterAutospacing="1" w:line="240" w:lineRule="atLeast"/>
        <w:jc w:val="center"/>
        <w:rPr>
          <w:rFonts w:ascii="標楷體" w:eastAsia="標楷體" w:hAnsi="標楷體"/>
          <w:b/>
          <w:bCs/>
          <w:sz w:val="40"/>
          <w:szCs w:val="28"/>
        </w:rPr>
      </w:pPr>
      <w:r w:rsidRPr="003E00F3">
        <w:rPr>
          <w:rFonts w:ascii="標楷體" w:eastAsia="標楷體" w:hAnsi="標楷體" w:hint="eastAsia"/>
          <w:b/>
          <w:bCs/>
          <w:color w:val="000000"/>
          <w:sz w:val="40"/>
          <w:szCs w:val="28"/>
        </w:rPr>
        <w:t>屏東縣</w:t>
      </w:r>
      <w:r w:rsidRPr="003E00F3">
        <w:rPr>
          <w:rFonts w:ascii="標楷體" w:eastAsia="標楷體" w:hAnsi="標楷體" w:hint="eastAsia"/>
          <w:b/>
          <w:color w:val="000000"/>
          <w:sz w:val="40"/>
          <w:szCs w:val="28"/>
        </w:rPr>
        <w:t>11</w:t>
      </w:r>
      <w:r>
        <w:rPr>
          <w:rFonts w:ascii="標楷體" w:eastAsia="標楷體" w:hAnsi="標楷體"/>
          <w:b/>
          <w:color w:val="000000"/>
          <w:sz w:val="40"/>
          <w:szCs w:val="28"/>
        </w:rPr>
        <w:t>1</w:t>
      </w:r>
      <w:r w:rsidRPr="003E00F3">
        <w:rPr>
          <w:rFonts w:ascii="標楷體" w:eastAsia="標楷體" w:hAnsi="標楷體" w:hint="eastAsia"/>
          <w:b/>
          <w:color w:val="000000"/>
          <w:sz w:val="40"/>
          <w:szCs w:val="28"/>
        </w:rPr>
        <w:t>年度</w:t>
      </w:r>
      <w:r w:rsidRPr="00385946">
        <w:rPr>
          <w:rFonts w:ascii="標楷體" w:eastAsia="標楷體" w:hAnsi="標楷體" w:hint="eastAsia"/>
          <w:b/>
          <w:color w:val="000000"/>
          <w:sz w:val="40"/>
          <w:szCs w:val="28"/>
        </w:rPr>
        <w:t>環教防災成果宣導活動</w:t>
      </w:r>
      <w:r w:rsidR="000A745C">
        <w:rPr>
          <w:rFonts w:ascii="標楷體" w:eastAsia="標楷體" w:hAnsi="標楷體" w:hint="eastAsia"/>
          <w:b/>
          <w:bCs/>
          <w:color w:val="000000"/>
          <w:sz w:val="40"/>
          <w:szCs w:val="28"/>
        </w:rPr>
        <w:t>實施</w:t>
      </w:r>
      <w:r w:rsidR="00D028F3" w:rsidRPr="003E00F3">
        <w:rPr>
          <w:rFonts w:ascii="標楷體" w:eastAsia="標楷體" w:hAnsi="標楷體" w:hint="eastAsia"/>
          <w:b/>
          <w:color w:val="000000"/>
          <w:sz w:val="40"/>
          <w:szCs w:val="28"/>
        </w:rPr>
        <w:t>計畫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依據：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屏東縣1</w:t>
      </w:r>
      <w:r w:rsidR="002646F0" w:rsidRPr="003E00F3">
        <w:rPr>
          <w:rFonts w:ascii="標楷體" w:eastAsia="標楷體" w:hAnsi="標楷體"/>
          <w:color w:val="000000"/>
          <w:sz w:val="28"/>
          <w:szCs w:val="24"/>
        </w:rPr>
        <w:t>08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－1</w:t>
      </w:r>
      <w:r w:rsidR="002646F0" w:rsidRPr="003E00F3">
        <w:rPr>
          <w:rFonts w:ascii="標楷體" w:eastAsia="標楷體" w:hAnsi="標楷體"/>
          <w:color w:val="000000"/>
          <w:sz w:val="28"/>
          <w:szCs w:val="24"/>
        </w:rPr>
        <w:t>11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環境教育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及防災教育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中</w:t>
      </w:r>
      <w:r w:rsidR="000A745C">
        <w:rPr>
          <w:rFonts w:ascii="標楷體" w:eastAsia="標楷體" w:hAnsi="標楷體" w:hint="eastAsia"/>
          <w:color w:val="000000"/>
          <w:sz w:val="28"/>
          <w:szCs w:val="24"/>
        </w:rPr>
        <w:t>長程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計畫辦理。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計畫目標：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將屏東縣推動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「環境教育」及「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防災教育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」相關成果以攤位聯展方式呈現，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達到推廣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環境教育及防災教育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寓教於樂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之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目的。活動預計邀集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40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個攤位，包含主題式</w:t>
      </w:r>
      <w:r w:rsidR="00926B43">
        <w:rPr>
          <w:rFonts w:ascii="標楷體" w:eastAsia="標楷體" w:hAnsi="標楷體" w:hint="eastAsia"/>
          <w:color w:val="000000"/>
          <w:sz w:val="28"/>
          <w:szCs w:val="24"/>
        </w:rPr>
        <w:t>環教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防災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教育攤位、學校及輔導團</w:t>
      </w:r>
      <w:r w:rsidR="00926B43">
        <w:rPr>
          <w:rFonts w:ascii="標楷體" w:eastAsia="標楷體" w:hAnsi="標楷體" w:hint="eastAsia"/>
          <w:color w:val="000000"/>
          <w:sz w:val="28"/>
          <w:szCs w:val="24"/>
        </w:rPr>
        <w:t>環教</w:t>
      </w:r>
      <w:r w:rsidR="00926B43">
        <w:rPr>
          <w:rFonts w:ascii="標楷體" w:eastAsia="標楷體" w:hAnsi="標楷體"/>
          <w:color w:val="000000"/>
          <w:sz w:val="28"/>
          <w:szCs w:val="24"/>
        </w:rPr>
        <w:t>及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防災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教育成果展示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，培養學生</w:t>
      </w:r>
      <w:r w:rsidR="008E4651">
        <w:rPr>
          <w:rFonts w:ascii="標楷體" w:eastAsia="標楷體" w:hAnsi="標楷體" w:hint="eastAsia"/>
          <w:color w:val="000000"/>
          <w:sz w:val="28"/>
          <w:szCs w:val="24"/>
        </w:rPr>
        <w:t>生活中的</w:t>
      </w:r>
      <w:r w:rsidR="00926B43">
        <w:rPr>
          <w:rFonts w:ascii="標楷體" w:eastAsia="標楷體" w:hAnsi="標楷體" w:hint="eastAsia"/>
          <w:color w:val="000000"/>
          <w:sz w:val="28"/>
          <w:szCs w:val="24"/>
        </w:rPr>
        <w:t>環境教育及</w:t>
      </w:r>
      <w:r w:rsidR="008E4651">
        <w:rPr>
          <w:rFonts w:ascii="標楷體" w:eastAsia="標楷體" w:hAnsi="標楷體" w:hint="eastAsia"/>
          <w:color w:val="000000"/>
          <w:sz w:val="28"/>
          <w:szCs w:val="24"/>
        </w:rPr>
        <w:t>防災</w:t>
      </w:r>
      <w:r w:rsidR="00926B43">
        <w:rPr>
          <w:rFonts w:ascii="標楷體" w:eastAsia="標楷體" w:hAnsi="標楷體" w:hint="eastAsia"/>
          <w:color w:val="000000"/>
          <w:sz w:val="28"/>
          <w:szCs w:val="24"/>
        </w:rPr>
        <w:t>教育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意識。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主辦單位：屏東縣政府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協辦單位：屏東縣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環境教育輔導</w:t>
      </w:r>
      <w:r w:rsidR="00C454D0">
        <w:rPr>
          <w:rFonts w:ascii="標楷體" w:eastAsia="標楷體" w:hAnsi="標楷體" w:hint="eastAsia"/>
          <w:color w:val="000000"/>
          <w:sz w:val="28"/>
          <w:szCs w:val="24"/>
        </w:rPr>
        <w:t>團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、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防災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教育輔導團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活動地點：屏東縣民公園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辦理時間：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11</w:t>
      </w:r>
      <w:r w:rsidR="000A745C">
        <w:rPr>
          <w:rFonts w:ascii="標楷體" w:eastAsia="標楷體" w:hAnsi="標楷體" w:hint="eastAsia"/>
          <w:color w:val="000000"/>
          <w:sz w:val="28"/>
          <w:szCs w:val="24"/>
        </w:rPr>
        <w:t>1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年</w:t>
      </w:r>
      <w:r w:rsidR="000A745C">
        <w:rPr>
          <w:rFonts w:ascii="標楷體" w:eastAsia="標楷體" w:hAnsi="標楷體" w:hint="eastAsia"/>
          <w:color w:val="000000"/>
          <w:sz w:val="28"/>
          <w:szCs w:val="24"/>
        </w:rPr>
        <w:t>3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月</w:t>
      </w:r>
      <w:r w:rsidR="000A745C">
        <w:rPr>
          <w:rFonts w:ascii="標楷體" w:eastAsia="標楷體" w:hAnsi="標楷體" w:hint="eastAsia"/>
          <w:color w:val="000000"/>
          <w:sz w:val="28"/>
          <w:szCs w:val="24"/>
        </w:rPr>
        <w:t>3日</w:t>
      </w:r>
      <w:r w:rsidR="00851E75">
        <w:rPr>
          <w:rFonts w:ascii="標楷體" w:eastAsia="標楷體" w:hAnsi="標楷體" w:hint="eastAsia"/>
          <w:color w:val="000000"/>
          <w:sz w:val="28"/>
          <w:szCs w:val="24"/>
        </w:rPr>
        <w:t>（星期四）</w:t>
      </w:r>
    </w:p>
    <w:p w:rsidR="002646F0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參加人數：師生合計約</w:t>
      </w:r>
      <w:r w:rsidR="00385946">
        <w:rPr>
          <w:rFonts w:ascii="標楷體" w:eastAsia="標楷體" w:hAnsi="標楷體"/>
          <w:color w:val="000000"/>
          <w:sz w:val="28"/>
          <w:szCs w:val="24"/>
        </w:rPr>
        <w:t>10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00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人</w:t>
      </w:r>
    </w:p>
    <w:p w:rsidR="00223CDD" w:rsidRPr="003E00F3" w:rsidRDefault="00223CDD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>活動</w:t>
      </w:r>
      <w:r>
        <w:rPr>
          <w:rFonts w:ascii="標楷體" w:eastAsia="標楷體" w:hAnsi="標楷體"/>
          <w:color w:val="000000"/>
          <w:sz w:val="28"/>
          <w:szCs w:val="24"/>
        </w:rPr>
        <w:t>方式：參與學生以活動闖關卡進行各攤位之體驗，完成相關體驗後可兌換宣導品一份以資鼓勵。</w:t>
      </w:r>
    </w:p>
    <w:p w:rsidR="00D028F3" w:rsidRPr="003E00F3" w:rsidRDefault="003E00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成果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宣導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活動</w:t>
      </w:r>
      <w:r w:rsidR="00D028F3" w:rsidRPr="003E00F3">
        <w:rPr>
          <w:rFonts w:ascii="標楷體" w:eastAsia="標楷體" w:hAnsi="標楷體" w:hint="eastAsia"/>
          <w:color w:val="000000"/>
          <w:sz w:val="28"/>
          <w:szCs w:val="24"/>
        </w:rPr>
        <w:t>流程：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5182"/>
      </w:tblGrid>
      <w:tr w:rsidR="003E00F3" w:rsidRPr="003E00F3" w:rsidTr="003E00F3">
        <w:trPr>
          <w:trHeight w:val="397"/>
          <w:jc w:val="center"/>
        </w:trPr>
        <w:tc>
          <w:tcPr>
            <w:tcW w:w="2468" w:type="dxa"/>
            <w:shd w:val="clear" w:color="auto" w:fill="auto"/>
          </w:tcPr>
          <w:p w:rsidR="003E00F3" w:rsidRPr="003E00F3" w:rsidRDefault="003E00F3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時間</w:t>
            </w:r>
          </w:p>
        </w:tc>
        <w:tc>
          <w:tcPr>
            <w:tcW w:w="5182" w:type="dxa"/>
            <w:shd w:val="clear" w:color="auto" w:fill="auto"/>
          </w:tcPr>
          <w:p w:rsidR="003E00F3" w:rsidRPr="003E00F3" w:rsidRDefault="003E00F3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活動項目</w:t>
            </w:r>
          </w:p>
        </w:tc>
      </w:tr>
      <w:tr w:rsidR="003E00F3" w:rsidRPr="003E00F3" w:rsidTr="003E00F3">
        <w:trPr>
          <w:trHeight w:val="397"/>
          <w:jc w:val="center"/>
        </w:trPr>
        <w:tc>
          <w:tcPr>
            <w:tcW w:w="2468" w:type="dxa"/>
            <w:shd w:val="clear" w:color="auto" w:fill="auto"/>
          </w:tcPr>
          <w:p w:rsidR="003E00F3" w:rsidRPr="003E00F3" w:rsidRDefault="00385946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08</w:t>
            </w:r>
            <w:r w:rsidR="003E00F3"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30</w:t>
            </w:r>
            <w:r w:rsidR="003E00F3"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09</w:t>
            </w:r>
            <w:r w:rsidR="003E00F3"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:00</w:t>
            </w:r>
          </w:p>
        </w:tc>
        <w:tc>
          <w:tcPr>
            <w:tcW w:w="5182" w:type="dxa"/>
            <w:shd w:val="clear" w:color="auto" w:fill="auto"/>
          </w:tcPr>
          <w:p w:rsidR="003E00F3" w:rsidRPr="003E00F3" w:rsidRDefault="003E00F3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攤位準備</w:t>
            </w:r>
          </w:p>
        </w:tc>
      </w:tr>
      <w:tr w:rsidR="00385946" w:rsidRPr="003E00F3" w:rsidTr="003E00F3">
        <w:trPr>
          <w:trHeight w:val="397"/>
          <w:jc w:val="center"/>
        </w:trPr>
        <w:tc>
          <w:tcPr>
            <w:tcW w:w="2468" w:type="dxa"/>
            <w:shd w:val="clear" w:color="auto" w:fill="auto"/>
          </w:tcPr>
          <w:p w:rsidR="00385946" w:rsidRPr="003E00F3" w:rsidRDefault="00385946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09</w:t>
            </w: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0</w:t>
            </w: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0-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16</w:t>
            </w: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:00</w:t>
            </w:r>
          </w:p>
        </w:tc>
        <w:tc>
          <w:tcPr>
            <w:tcW w:w="5182" w:type="dxa"/>
            <w:shd w:val="clear" w:color="auto" w:fill="auto"/>
          </w:tcPr>
          <w:p w:rsidR="00385946" w:rsidRPr="003E00F3" w:rsidRDefault="00C454D0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環教</w:t>
            </w:r>
            <w:r w:rsidR="0038594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防災</w:t>
            </w:r>
            <w:r w:rsidR="00385946"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教育攤位活動及闖關體驗</w:t>
            </w:r>
          </w:p>
        </w:tc>
      </w:tr>
      <w:tr w:rsidR="00385946" w:rsidRPr="003E00F3" w:rsidTr="003E00F3">
        <w:trPr>
          <w:trHeight w:val="397"/>
          <w:jc w:val="center"/>
        </w:trPr>
        <w:tc>
          <w:tcPr>
            <w:tcW w:w="2468" w:type="dxa"/>
            <w:shd w:val="clear" w:color="auto" w:fill="auto"/>
          </w:tcPr>
          <w:p w:rsidR="00385946" w:rsidRPr="003E00F3" w:rsidRDefault="00385946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16:00</w:t>
            </w:r>
          </w:p>
        </w:tc>
        <w:tc>
          <w:tcPr>
            <w:tcW w:w="5182" w:type="dxa"/>
            <w:shd w:val="clear" w:color="auto" w:fill="auto"/>
          </w:tcPr>
          <w:p w:rsidR="00385946" w:rsidRPr="003E00F3" w:rsidRDefault="00385946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閉幕</w:t>
            </w:r>
          </w:p>
        </w:tc>
      </w:tr>
    </w:tbl>
    <w:p w:rsidR="003E00F3" w:rsidRPr="003E00F3" w:rsidRDefault="00385946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>經費預算：</w:t>
      </w:r>
      <w:r w:rsidR="00D028F3" w:rsidRPr="003E00F3">
        <w:rPr>
          <w:rFonts w:ascii="標楷體" w:eastAsia="標楷體" w:hAnsi="標楷體" w:hint="eastAsia"/>
          <w:color w:val="000000"/>
          <w:sz w:val="28"/>
          <w:szCs w:val="24"/>
        </w:rPr>
        <w:t>由11</w:t>
      </w:r>
      <w:r>
        <w:rPr>
          <w:rFonts w:ascii="標楷體" w:eastAsia="標楷體" w:hAnsi="標楷體"/>
          <w:color w:val="000000"/>
          <w:sz w:val="28"/>
          <w:szCs w:val="24"/>
        </w:rPr>
        <w:t>1</w:t>
      </w:r>
      <w:r w:rsidR="00D028F3" w:rsidRPr="003E00F3">
        <w:rPr>
          <w:rFonts w:ascii="標楷體" w:eastAsia="標楷體" w:hAnsi="標楷體" w:hint="eastAsia"/>
          <w:color w:val="000000"/>
          <w:sz w:val="28"/>
          <w:szCs w:val="24"/>
        </w:rPr>
        <w:t>年本府相關經費項下支應。</w:t>
      </w:r>
    </w:p>
    <w:p w:rsidR="00D028F3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預期效應:</w:t>
      </w:r>
    </w:p>
    <w:p w:rsidR="00D028F3" w:rsidRPr="003E00F3" w:rsidRDefault="00D028F3" w:rsidP="00385946">
      <w:pPr>
        <w:pStyle w:val="a3"/>
        <w:numPr>
          <w:ilvl w:val="0"/>
          <w:numId w:val="5"/>
        </w:numPr>
        <w:snapToGrid w:val="0"/>
        <w:spacing w:before="100" w:beforeAutospacing="1" w:after="100" w:afterAutospacing="1" w:line="440" w:lineRule="atLeast"/>
        <w:ind w:leftChars="0"/>
        <w:rPr>
          <w:rFonts w:ascii="標楷體" w:eastAsia="標楷體" w:hAnsi="標楷體" w:cs="新細明體"/>
          <w:kern w:val="0"/>
          <w:sz w:val="28"/>
          <w:szCs w:val="24"/>
        </w:rPr>
      </w:pPr>
      <w:r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將</w:t>
      </w:r>
      <w:r w:rsidR="00385946">
        <w:rPr>
          <w:rFonts w:ascii="標楷體" w:eastAsia="標楷體" w:hAnsi="標楷體" w:cs="新細明體" w:hint="eastAsia"/>
          <w:kern w:val="0"/>
          <w:sz w:val="28"/>
          <w:szCs w:val="24"/>
        </w:rPr>
        <w:t>環境教育及</w:t>
      </w:r>
      <w:r w:rsidR="003E00F3"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防災</w:t>
      </w:r>
      <w:r w:rsidR="00385946">
        <w:rPr>
          <w:rFonts w:ascii="標楷體" w:eastAsia="標楷體" w:hAnsi="標楷體" w:cs="新細明體" w:hint="eastAsia"/>
          <w:kern w:val="0"/>
          <w:sz w:val="28"/>
          <w:szCs w:val="24"/>
        </w:rPr>
        <w:t>教育</w:t>
      </w:r>
      <w:r w:rsidR="003E00F3"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之相關內涵藉由攤位體驗活動讓民眾及師生認識，培養</w:t>
      </w:r>
      <w:r w:rsidR="00385946">
        <w:rPr>
          <w:rFonts w:ascii="標楷體" w:eastAsia="標楷體" w:hAnsi="標楷體" w:cs="新細明體" w:hint="eastAsia"/>
          <w:kern w:val="0"/>
          <w:sz w:val="28"/>
          <w:szCs w:val="24"/>
        </w:rPr>
        <w:t>環境教育及</w:t>
      </w:r>
      <w:r w:rsidR="003E00F3"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防災教育</w:t>
      </w:r>
      <w:r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的意識並實際參與行動。</w:t>
      </w:r>
    </w:p>
    <w:p w:rsidR="00D028F3" w:rsidRPr="003E00F3" w:rsidRDefault="00D028F3" w:rsidP="00385946">
      <w:pPr>
        <w:pStyle w:val="a3"/>
        <w:numPr>
          <w:ilvl w:val="0"/>
          <w:numId w:val="5"/>
        </w:numPr>
        <w:snapToGrid w:val="0"/>
        <w:spacing w:before="100" w:beforeAutospacing="1" w:after="100" w:afterAutospacing="1" w:line="440" w:lineRule="atLeast"/>
        <w:ind w:leftChars="0"/>
        <w:rPr>
          <w:rFonts w:ascii="標楷體" w:eastAsia="標楷體" w:hAnsi="標楷體"/>
          <w:sz w:val="28"/>
          <w:szCs w:val="24"/>
        </w:rPr>
      </w:pPr>
      <w:r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展現屏東縣</w:t>
      </w:r>
      <w:r w:rsidR="00385946">
        <w:rPr>
          <w:rFonts w:ascii="標楷體" w:eastAsia="標楷體" w:hAnsi="標楷體" w:cs="新細明體" w:hint="eastAsia"/>
          <w:kern w:val="0"/>
          <w:sz w:val="28"/>
          <w:szCs w:val="24"/>
        </w:rPr>
        <w:t>環境教育及</w:t>
      </w:r>
      <w:r w:rsidR="003E00F3"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防災</w:t>
      </w:r>
      <w:r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教育單位相關執行成果並增進合作，帶動更多單位與學校師生的生態環境知能並提升實作能力。</w:t>
      </w:r>
    </w:p>
    <w:p w:rsidR="00D028F3" w:rsidRPr="0038451B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本計畫經陳</w:t>
      </w:r>
      <w:r w:rsidR="001977F2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屏東</w:t>
      </w:r>
      <w:bookmarkStart w:id="0" w:name="_GoBack"/>
      <w:bookmarkEnd w:id="0"/>
      <w:r w:rsidRPr="003E00F3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縣政府核可後實施，修正亦同。</w:t>
      </w:r>
    </w:p>
    <w:sectPr w:rsidR="00D028F3" w:rsidRPr="0038451B" w:rsidSect="003E00F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77B" w:rsidRDefault="00AE777B" w:rsidP="008E4651">
      <w:r>
        <w:separator/>
      </w:r>
    </w:p>
  </w:endnote>
  <w:endnote w:type="continuationSeparator" w:id="0">
    <w:p w:rsidR="00AE777B" w:rsidRDefault="00AE777B" w:rsidP="008E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77B" w:rsidRDefault="00AE777B" w:rsidP="008E4651">
      <w:r>
        <w:separator/>
      </w:r>
    </w:p>
  </w:footnote>
  <w:footnote w:type="continuationSeparator" w:id="0">
    <w:p w:rsidR="00AE777B" w:rsidRDefault="00AE777B" w:rsidP="008E4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31C"/>
    <w:multiLevelType w:val="hybridMultilevel"/>
    <w:tmpl w:val="8C9E19B2"/>
    <w:lvl w:ilvl="0" w:tplc="CFA0B072">
      <w:start w:val="1"/>
      <w:numFmt w:val="taiwaneseCountingThousand"/>
      <w:lvlText w:val="(%1)"/>
      <w:lvlJc w:val="left"/>
      <w:pPr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1" w15:restartNumberingAfterBreak="0">
    <w:nsid w:val="12161842"/>
    <w:multiLevelType w:val="hybridMultilevel"/>
    <w:tmpl w:val="B7F022B8"/>
    <w:lvl w:ilvl="0" w:tplc="7E482FB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83A7729"/>
    <w:multiLevelType w:val="hybridMultilevel"/>
    <w:tmpl w:val="1B3EA22A"/>
    <w:lvl w:ilvl="0" w:tplc="C810C160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0" w:hanging="480"/>
      </w:pPr>
    </w:lvl>
    <w:lvl w:ilvl="2" w:tplc="0409001B" w:tentative="1">
      <w:start w:val="1"/>
      <w:numFmt w:val="lowerRoman"/>
      <w:lvlText w:val="%3."/>
      <w:lvlJc w:val="right"/>
      <w:pPr>
        <w:ind w:left="2930" w:hanging="480"/>
      </w:pPr>
    </w:lvl>
    <w:lvl w:ilvl="3" w:tplc="0409000F" w:tentative="1">
      <w:start w:val="1"/>
      <w:numFmt w:val="decimal"/>
      <w:lvlText w:val="%4."/>
      <w:lvlJc w:val="left"/>
      <w:pPr>
        <w:ind w:left="3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0" w:hanging="480"/>
      </w:pPr>
    </w:lvl>
    <w:lvl w:ilvl="5" w:tplc="0409001B" w:tentative="1">
      <w:start w:val="1"/>
      <w:numFmt w:val="lowerRoman"/>
      <w:lvlText w:val="%6."/>
      <w:lvlJc w:val="right"/>
      <w:pPr>
        <w:ind w:left="4370" w:hanging="480"/>
      </w:pPr>
    </w:lvl>
    <w:lvl w:ilvl="6" w:tplc="0409000F" w:tentative="1">
      <w:start w:val="1"/>
      <w:numFmt w:val="decimal"/>
      <w:lvlText w:val="%7."/>
      <w:lvlJc w:val="left"/>
      <w:pPr>
        <w:ind w:left="4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0" w:hanging="480"/>
      </w:pPr>
    </w:lvl>
    <w:lvl w:ilvl="8" w:tplc="0409001B" w:tentative="1">
      <w:start w:val="1"/>
      <w:numFmt w:val="lowerRoman"/>
      <w:lvlText w:val="%9."/>
      <w:lvlJc w:val="right"/>
      <w:pPr>
        <w:ind w:left="5810" w:hanging="480"/>
      </w:pPr>
    </w:lvl>
  </w:abstractNum>
  <w:abstractNum w:abstractNumId="3" w15:restartNumberingAfterBreak="0">
    <w:nsid w:val="3460774C"/>
    <w:multiLevelType w:val="hybridMultilevel"/>
    <w:tmpl w:val="D02EFDD8"/>
    <w:lvl w:ilvl="0" w:tplc="DD50BF12">
      <w:start w:val="1"/>
      <w:numFmt w:val="taiwaneseCountingThousand"/>
      <w:lvlText w:val="%1、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265EFC"/>
    <w:multiLevelType w:val="hybridMultilevel"/>
    <w:tmpl w:val="91B2D080"/>
    <w:lvl w:ilvl="0" w:tplc="46CEB5B6">
      <w:start w:val="1"/>
      <w:numFmt w:val="taiwaneseCountingThousand"/>
      <w:lvlText w:val="(%1)"/>
      <w:lvlJc w:val="left"/>
      <w:pPr>
        <w:ind w:left="15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7" w:hanging="480"/>
      </w:pPr>
    </w:lvl>
    <w:lvl w:ilvl="2" w:tplc="0409001B" w:tentative="1">
      <w:start w:val="1"/>
      <w:numFmt w:val="lowerRoman"/>
      <w:lvlText w:val="%3."/>
      <w:lvlJc w:val="right"/>
      <w:pPr>
        <w:ind w:left="2257" w:hanging="480"/>
      </w:pPr>
    </w:lvl>
    <w:lvl w:ilvl="3" w:tplc="0409000F" w:tentative="1">
      <w:start w:val="1"/>
      <w:numFmt w:val="decimal"/>
      <w:lvlText w:val="%4."/>
      <w:lvlJc w:val="left"/>
      <w:pPr>
        <w:ind w:left="27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7" w:hanging="480"/>
      </w:pPr>
    </w:lvl>
    <w:lvl w:ilvl="5" w:tplc="0409001B" w:tentative="1">
      <w:start w:val="1"/>
      <w:numFmt w:val="lowerRoman"/>
      <w:lvlText w:val="%6."/>
      <w:lvlJc w:val="right"/>
      <w:pPr>
        <w:ind w:left="3697" w:hanging="480"/>
      </w:pPr>
    </w:lvl>
    <w:lvl w:ilvl="6" w:tplc="0409000F" w:tentative="1">
      <w:start w:val="1"/>
      <w:numFmt w:val="decimal"/>
      <w:lvlText w:val="%7."/>
      <w:lvlJc w:val="left"/>
      <w:pPr>
        <w:ind w:left="41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7" w:hanging="480"/>
      </w:pPr>
    </w:lvl>
    <w:lvl w:ilvl="8" w:tplc="0409001B" w:tentative="1">
      <w:start w:val="1"/>
      <w:numFmt w:val="lowerRoman"/>
      <w:lvlText w:val="%9."/>
      <w:lvlJc w:val="right"/>
      <w:pPr>
        <w:ind w:left="5137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F3"/>
    <w:rsid w:val="0001404E"/>
    <w:rsid w:val="000A745C"/>
    <w:rsid w:val="00122308"/>
    <w:rsid w:val="001977F2"/>
    <w:rsid w:val="00223CDD"/>
    <w:rsid w:val="002646F0"/>
    <w:rsid w:val="002A4BEF"/>
    <w:rsid w:val="0038451B"/>
    <w:rsid w:val="00385946"/>
    <w:rsid w:val="003E00F3"/>
    <w:rsid w:val="00402061"/>
    <w:rsid w:val="00432C01"/>
    <w:rsid w:val="004B5CAD"/>
    <w:rsid w:val="00585413"/>
    <w:rsid w:val="00791E8D"/>
    <w:rsid w:val="00815AA6"/>
    <w:rsid w:val="00851E75"/>
    <w:rsid w:val="008D3513"/>
    <w:rsid w:val="008E4651"/>
    <w:rsid w:val="00926B43"/>
    <w:rsid w:val="00972514"/>
    <w:rsid w:val="00973880"/>
    <w:rsid w:val="009C2DCD"/>
    <w:rsid w:val="00A63B8B"/>
    <w:rsid w:val="00AE777B"/>
    <w:rsid w:val="00B06A5F"/>
    <w:rsid w:val="00C454D0"/>
    <w:rsid w:val="00D028F3"/>
    <w:rsid w:val="00FB60CF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A81435-6897-406D-B5BD-51D56172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8F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28F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E4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465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4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465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2022-02-11T01:47:00Z</dcterms:created>
  <dcterms:modified xsi:type="dcterms:W3CDTF">2022-02-24T02:45:00Z</dcterms:modified>
</cp:coreProperties>
</file>